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FDD" w:rsidRDefault="00EA2F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EA2FDD" w:rsidRDefault="00EA2FD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 w:rsidR="00925E65">
        <w:rPr>
          <w:rFonts w:cs="Arial"/>
          <w:b/>
          <w:bCs/>
        </w:rPr>
        <w:t>Audit &amp; Governance Committee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C21AFB">
        <w:rPr>
          <w:rFonts w:cs="Arial"/>
          <w:b/>
          <w:bCs/>
        </w:rPr>
        <w:t>29</w:t>
      </w:r>
      <w:r w:rsidR="00C21AFB" w:rsidRPr="00C21AFB">
        <w:rPr>
          <w:rFonts w:cs="Arial"/>
          <w:b/>
          <w:bCs/>
          <w:vertAlign w:val="superscript"/>
        </w:rPr>
        <w:t>th</w:t>
      </w:r>
      <w:r w:rsidR="00C21AFB">
        <w:rPr>
          <w:rFonts w:cs="Arial"/>
          <w:b/>
          <w:bCs/>
        </w:rPr>
        <w:t xml:space="preserve"> June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 xml:space="preserve">Head of </w:t>
      </w:r>
      <w:r w:rsidR="00925E65">
        <w:rPr>
          <w:rFonts w:cs="Arial"/>
          <w:b/>
          <w:bCs/>
        </w:rPr>
        <w:t>Finan</w:t>
      </w:r>
      <w:r w:rsidR="009D258A">
        <w:rPr>
          <w:rFonts w:cs="Arial"/>
          <w:b/>
          <w:bCs/>
        </w:rPr>
        <w:t>cial Services</w:t>
      </w:r>
      <w:r w:rsidR="00925E6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 w:rsidP="00925E65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925E65">
        <w:rPr>
          <w:rFonts w:cs="Arial"/>
          <w:b/>
          <w:bCs/>
        </w:rPr>
        <w:t xml:space="preserve">Risk Management Quarterly Reporting: Quarter </w:t>
      </w:r>
      <w:r w:rsidR="003D1620">
        <w:rPr>
          <w:rFonts w:cs="Arial"/>
          <w:b/>
          <w:bCs/>
        </w:rPr>
        <w:t xml:space="preserve">4 </w:t>
      </w:r>
      <w:r w:rsidR="00925E65">
        <w:rPr>
          <w:rFonts w:cs="Arial"/>
          <w:b/>
          <w:bCs/>
        </w:rPr>
        <w:t>2014/2015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925E65">
        <w:rPr>
          <w:rFonts w:cs="Arial"/>
        </w:rPr>
        <w:t xml:space="preserve">To update the Committee on both corporate and service risks as at the end of Quarter </w:t>
      </w:r>
      <w:r w:rsidR="003D1620">
        <w:rPr>
          <w:rFonts w:cs="Arial"/>
        </w:rPr>
        <w:t>4</w:t>
      </w:r>
      <w:r w:rsidR="00925E65">
        <w:rPr>
          <w:rFonts w:cs="Arial"/>
        </w:rPr>
        <w:t>, 31</w:t>
      </w:r>
      <w:r w:rsidR="00925E65" w:rsidRPr="00925E65">
        <w:rPr>
          <w:rFonts w:cs="Arial"/>
          <w:vertAlign w:val="superscript"/>
        </w:rPr>
        <w:t>st</w:t>
      </w:r>
      <w:r w:rsidR="00925E65">
        <w:rPr>
          <w:rFonts w:cs="Arial"/>
        </w:rPr>
        <w:t xml:space="preserve"> </w:t>
      </w:r>
      <w:r w:rsidR="003D1620">
        <w:rPr>
          <w:rFonts w:cs="Arial"/>
        </w:rPr>
        <w:t>March 2105</w:t>
      </w:r>
      <w:r w:rsidR="00925E65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Pr="00925E65" w:rsidRDefault="002B52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>Key decision:</w:t>
      </w:r>
      <w:r w:rsidR="00925E65">
        <w:rPr>
          <w:b w:val="0"/>
          <w:bCs w:val="0"/>
          <w:i/>
        </w:rPr>
        <w:t xml:space="preserve"> </w:t>
      </w:r>
      <w:r w:rsidR="00925E65" w:rsidRPr="00925E65">
        <w:rPr>
          <w:bCs w:val="0"/>
        </w:rPr>
        <w:t>No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925E65">
        <w:rPr>
          <w:rFonts w:cs="Arial"/>
          <w:b/>
          <w:bCs/>
        </w:rPr>
        <w:t>Councillor Ed Turner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</w:t>
      </w:r>
      <w:r w:rsidR="00925E65">
        <w:rPr>
          <w:rFonts w:cs="Arial"/>
          <w:b/>
          <w:bCs/>
        </w:rPr>
        <w:t>Corporate Plan - Efficient, Effective 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5E65" w:rsidRPr="008E4C68" w:rsidRDefault="00F4367A" w:rsidP="00925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 xml:space="preserve">Recommendation(s): </w:t>
      </w:r>
      <w:r w:rsidR="00925E65" w:rsidRPr="008E4C68">
        <w:rPr>
          <w:rFonts w:cs="Arial"/>
        </w:rPr>
        <w:t>The Committee are asked to note the contents of this report</w:t>
      </w:r>
      <w:r w:rsidR="00925E65">
        <w:rPr>
          <w:rFonts w:cs="Arial"/>
        </w:rPr>
        <w:t>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F4367A" w:rsidRDefault="00F4367A">
      <w:pPr>
        <w:rPr>
          <w:rFonts w:cs="Arial"/>
        </w:rPr>
      </w:pPr>
    </w:p>
    <w:p w:rsidR="007B6E54" w:rsidRPr="002B5264" w:rsidRDefault="00713675" w:rsidP="002B5264">
      <w:pPr>
        <w:rPr>
          <w:rFonts w:cs="Arial"/>
          <w:b/>
        </w:rPr>
      </w:pPr>
      <w:proofErr w:type="gramStart"/>
      <w:r w:rsidRPr="002B5264">
        <w:rPr>
          <w:rFonts w:cs="Arial"/>
          <w:b/>
        </w:rPr>
        <w:t>Appendi</w:t>
      </w:r>
      <w:r w:rsidR="002B5264">
        <w:rPr>
          <w:rFonts w:cs="Arial"/>
          <w:b/>
        </w:rPr>
        <w:t>x</w:t>
      </w:r>
      <w:r w:rsidRPr="002B5264">
        <w:rPr>
          <w:rFonts w:cs="Arial"/>
          <w:b/>
        </w:rPr>
        <w:t xml:space="preserve"> </w:t>
      </w:r>
      <w:r w:rsidR="002B5264" w:rsidRPr="002B5264">
        <w:rPr>
          <w:rFonts w:cs="Arial"/>
          <w:b/>
        </w:rPr>
        <w:t xml:space="preserve"> A</w:t>
      </w:r>
      <w:proofErr w:type="gramEnd"/>
      <w:r w:rsidR="002B5264" w:rsidRPr="002B5264">
        <w:rPr>
          <w:rFonts w:cs="Arial"/>
          <w:b/>
        </w:rPr>
        <w:tab/>
      </w:r>
      <w:r w:rsidR="002B5264" w:rsidRPr="002B5264">
        <w:rPr>
          <w:rFonts w:cs="Arial"/>
          <w:b/>
        </w:rPr>
        <w:tab/>
        <w:t xml:space="preserve">Corporate Risk Register </w:t>
      </w:r>
    </w:p>
    <w:p w:rsidR="007B6E54" w:rsidRDefault="007B6E54">
      <w:pPr>
        <w:rPr>
          <w:rFonts w:cs="Arial"/>
          <w:i/>
        </w:rPr>
      </w:pPr>
    </w:p>
    <w:p w:rsidR="004F377C" w:rsidRDefault="004F377C" w:rsidP="0097083A">
      <w:pPr>
        <w:rPr>
          <w:rFonts w:cs="Arial"/>
          <w:b/>
        </w:rPr>
      </w:pPr>
      <w:r>
        <w:rPr>
          <w:rFonts w:cs="Arial"/>
          <w:b/>
        </w:rPr>
        <w:t xml:space="preserve">Business Continuity Planning </w:t>
      </w:r>
    </w:p>
    <w:p w:rsidR="00883B8D" w:rsidRDefault="00883B8D" w:rsidP="0049706B">
      <w:pPr>
        <w:pStyle w:val="ListParagraph"/>
        <w:numPr>
          <w:ilvl w:val="0"/>
          <w:numId w:val="2"/>
        </w:numPr>
        <w:tabs>
          <w:tab w:val="clear" w:pos="927"/>
          <w:tab w:val="num" w:pos="-1341"/>
        </w:tabs>
        <w:ind w:left="360"/>
        <w:jc w:val="both"/>
        <w:rPr>
          <w:rFonts w:cs="Arial"/>
        </w:rPr>
      </w:pPr>
      <w:r>
        <w:rPr>
          <w:rFonts w:cs="Arial"/>
        </w:rPr>
        <w:t xml:space="preserve">The final table top testing of </w:t>
      </w:r>
      <w:r w:rsidR="00E900EA">
        <w:rPr>
          <w:rFonts w:cs="Arial"/>
        </w:rPr>
        <w:t>Services’</w:t>
      </w:r>
      <w:r>
        <w:rPr>
          <w:rFonts w:cs="Arial"/>
        </w:rPr>
        <w:t xml:space="preserve"> B</w:t>
      </w:r>
      <w:r w:rsidR="00E900EA">
        <w:rPr>
          <w:rFonts w:cs="Arial"/>
        </w:rPr>
        <w:t xml:space="preserve">usiness </w:t>
      </w:r>
      <w:r>
        <w:rPr>
          <w:rFonts w:cs="Arial"/>
        </w:rPr>
        <w:t>C</w:t>
      </w:r>
      <w:r w:rsidR="00E900EA">
        <w:rPr>
          <w:rFonts w:cs="Arial"/>
        </w:rPr>
        <w:t xml:space="preserve">ontinuity </w:t>
      </w:r>
      <w:r>
        <w:rPr>
          <w:rFonts w:cs="Arial"/>
        </w:rPr>
        <w:t>P</w:t>
      </w:r>
      <w:r w:rsidR="00E900EA">
        <w:rPr>
          <w:rFonts w:cs="Arial"/>
        </w:rPr>
        <w:t>lans</w:t>
      </w:r>
      <w:r>
        <w:rPr>
          <w:rFonts w:cs="Arial"/>
        </w:rPr>
        <w:t xml:space="preserve"> </w:t>
      </w:r>
      <w:r w:rsidR="00E900EA">
        <w:rPr>
          <w:rFonts w:cs="Arial"/>
        </w:rPr>
        <w:t xml:space="preserve">(BCP’s) </w:t>
      </w:r>
      <w:r>
        <w:rPr>
          <w:rFonts w:cs="Arial"/>
        </w:rPr>
        <w:t>took place on 9</w:t>
      </w:r>
      <w:r w:rsidRPr="00883B8D">
        <w:rPr>
          <w:rFonts w:cs="Arial"/>
          <w:vertAlign w:val="superscript"/>
        </w:rPr>
        <w:t>th</w:t>
      </w:r>
      <w:r>
        <w:rPr>
          <w:rFonts w:cs="Arial"/>
        </w:rPr>
        <w:t xml:space="preserve"> June 2015. All service areas have attended the sessions and are now updating their BCP</w:t>
      </w:r>
      <w:r w:rsidR="00E900EA">
        <w:rPr>
          <w:rFonts w:cs="Arial"/>
        </w:rPr>
        <w:t>’s</w:t>
      </w:r>
      <w:r>
        <w:rPr>
          <w:rFonts w:cs="Arial"/>
        </w:rPr>
        <w:t xml:space="preserve"> accordingly. </w:t>
      </w:r>
    </w:p>
    <w:p w:rsidR="001A5BBC" w:rsidRDefault="001A5BBC" w:rsidP="0049706B">
      <w:pPr>
        <w:pStyle w:val="ListParagraph"/>
        <w:ind w:left="360"/>
        <w:jc w:val="both"/>
        <w:rPr>
          <w:rFonts w:cs="Arial"/>
        </w:rPr>
      </w:pPr>
    </w:p>
    <w:p w:rsidR="009D165C" w:rsidRDefault="00B10197" w:rsidP="0049706B">
      <w:pPr>
        <w:pStyle w:val="ListParagraph"/>
        <w:numPr>
          <w:ilvl w:val="0"/>
          <w:numId w:val="2"/>
        </w:numPr>
        <w:tabs>
          <w:tab w:val="clear" w:pos="927"/>
          <w:tab w:val="num" w:pos="-774"/>
        </w:tabs>
        <w:ind w:left="360"/>
        <w:jc w:val="both"/>
        <w:rPr>
          <w:rFonts w:cs="Arial"/>
        </w:rPr>
      </w:pPr>
      <w:r>
        <w:rPr>
          <w:rFonts w:cs="Arial"/>
        </w:rPr>
        <w:t xml:space="preserve">A total of 60 staff from all service areas attended the BCP’s sessions based on a hypothetical scenario </w:t>
      </w:r>
      <w:r w:rsidR="00E04A96">
        <w:rPr>
          <w:rFonts w:cs="Arial"/>
        </w:rPr>
        <w:t xml:space="preserve">centred around restricted access to places of work due to a ‘smoke cloud’ and a subsequent epidemic  </w:t>
      </w:r>
      <w:r w:rsidR="009D165C">
        <w:rPr>
          <w:rFonts w:cs="Arial"/>
        </w:rPr>
        <w:t>causing widespread staff sickness.</w:t>
      </w:r>
      <w:r w:rsidR="00E04A96">
        <w:rPr>
          <w:rFonts w:cs="Arial"/>
        </w:rPr>
        <w:t xml:space="preserve"> </w:t>
      </w:r>
    </w:p>
    <w:p w:rsidR="009D165C" w:rsidRPr="009D165C" w:rsidRDefault="009D165C" w:rsidP="0049706B">
      <w:pPr>
        <w:pStyle w:val="ListParagraph"/>
        <w:ind w:left="153"/>
        <w:rPr>
          <w:rFonts w:cs="Arial"/>
        </w:rPr>
      </w:pPr>
    </w:p>
    <w:p w:rsidR="004F377C" w:rsidRDefault="00883B8D" w:rsidP="0049706B">
      <w:pPr>
        <w:pStyle w:val="ListParagraph"/>
        <w:numPr>
          <w:ilvl w:val="0"/>
          <w:numId w:val="2"/>
        </w:numPr>
        <w:tabs>
          <w:tab w:val="clear" w:pos="927"/>
          <w:tab w:val="num" w:pos="-207"/>
        </w:tabs>
        <w:ind w:left="360"/>
        <w:jc w:val="both"/>
        <w:rPr>
          <w:rFonts w:cs="Arial"/>
        </w:rPr>
      </w:pPr>
      <w:r>
        <w:rPr>
          <w:rFonts w:cs="Arial"/>
        </w:rPr>
        <w:t xml:space="preserve">Feedback from the sessions </w:t>
      </w:r>
      <w:r w:rsidR="009D165C">
        <w:rPr>
          <w:rFonts w:cs="Arial"/>
        </w:rPr>
        <w:t xml:space="preserve">is being considered by </w:t>
      </w:r>
      <w:r w:rsidR="00264555">
        <w:rPr>
          <w:rFonts w:cs="Arial"/>
        </w:rPr>
        <w:t xml:space="preserve">the </w:t>
      </w:r>
      <w:r w:rsidR="009D165C">
        <w:rPr>
          <w:rFonts w:cs="Arial"/>
        </w:rPr>
        <w:t>Corporate Management Team and</w:t>
      </w:r>
      <w:r w:rsidR="008E6800">
        <w:rPr>
          <w:rFonts w:cs="Arial"/>
        </w:rPr>
        <w:t xml:space="preserve"> will be </w:t>
      </w:r>
      <w:r w:rsidR="009D258A">
        <w:rPr>
          <w:rFonts w:cs="Arial"/>
        </w:rPr>
        <w:t xml:space="preserve">fed </w:t>
      </w:r>
      <w:r>
        <w:rPr>
          <w:rFonts w:cs="Arial"/>
        </w:rPr>
        <w:t>back to all the service areas to share the lessons learned</w:t>
      </w:r>
      <w:r w:rsidR="00BB2375">
        <w:rPr>
          <w:rFonts w:cs="Arial"/>
        </w:rPr>
        <w:t xml:space="preserve"> and </w:t>
      </w:r>
      <w:r w:rsidR="009022A0">
        <w:rPr>
          <w:rFonts w:cs="Arial"/>
        </w:rPr>
        <w:t>best practice</w:t>
      </w:r>
      <w:r>
        <w:rPr>
          <w:rFonts w:cs="Arial"/>
        </w:rPr>
        <w:t>.</w:t>
      </w:r>
      <w:r w:rsidR="009D165C">
        <w:rPr>
          <w:rFonts w:cs="Arial"/>
        </w:rPr>
        <w:t xml:space="preserve"> Issues raised include :</w:t>
      </w:r>
    </w:p>
    <w:p w:rsidR="009D165C" w:rsidRDefault="009D165C" w:rsidP="00D462A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lastRenderedPageBreak/>
        <w:t>Out of date contact lists</w:t>
      </w:r>
    </w:p>
    <w:p w:rsidR="008E6800" w:rsidRDefault="008E6800" w:rsidP="00D462A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Need to identify critical contractors</w:t>
      </w:r>
    </w:p>
    <w:p w:rsidR="008E6800" w:rsidRDefault="008E6800" w:rsidP="00D462A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Need to restrict access to personal data in Business Continuity Plans</w:t>
      </w:r>
    </w:p>
    <w:p w:rsidR="008E6800" w:rsidRDefault="00264555" w:rsidP="00D462A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Encouragement</w:t>
      </w:r>
      <w:r w:rsidR="008E6800">
        <w:rPr>
          <w:rFonts w:cs="Arial"/>
        </w:rPr>
        <w:t xml:space="preserve"> of staff to sign up for councils </w:t>
      </w:r>
      <w:proofErr w:type="spellStart"/>
      <w:r w:rsidR="008E6800">
        <w:rPr>
          <w:rFonts w:cs="Arial"/>
        </w:rPr>
        <w:t>facebook</w:t>
      </w:r>
      <w:proofErr w:type="spellEnd"/>
      <w:r w:rsidR="008E6800">
        <w:rPr>
          <w:rFonts w:cs="Arial"/>
        </w:rPr>
        <w:t xml:space="preserve"> and twitter to improve </w:t>
      </w:r>
      <w:r>
        <w:rPr>
          <w:rFonts w:cs="Arial"/>
        </w:rPr>
        <w:t>communications</w:t>
      </w:r>
      <w:r w:rsidR="008E6800">
        <w:rPr>
          <w:rFonts w:cs="Arial"/>
        </w:rPr>
        <w:t xml:space="preserve"> during an emergency</w:t>
      </w:r>
    </w:p>
    <w:p w:rsidR="008E6800" w:rsidRDefault="008E6800" w:rsidP="00D462A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Ensuing key staff have access to mobile phones and </w:t>
      </w:r>
      <w:proofErr w:type="spellStart"/>
      <w:r>
        <w:rPr>
          <w:rFonts w:cs="Arial"/>
        </w:rPr>
        <w:t>iPads</w:t>
      </w:r>
      <w:proofErr w:type="spellEnd"/>
    </w:p>
    <w:p w:rsidR="008E6800" w:rsidRDefault="008E6800" w:rsidP="004F377C">
      <w:pPr>
        <w:rPr>
          <w:rFonts w:cs="Arial"/>
          <w:b/>
        </w:rPr>
      </w:pPr>
    </w:p>
    <w:p w:rsidR="007E33BE" w:rsidRDefault="007E33BE" w:rsidP="004F377C">
      <w:pPr>
        <w:rPr>
          <w:rFonts w:cs="Arial"/>
          <w:b/>
        </w:rPr>
      </w:pPr>
      <w:r>
        <w:rPr>
          <w:rFonts w:cs="Arial"/>
          <w:b/>
        </w:rPr>
        <w:t xml:space="preserve">On-line Training module </w:t>
      </w:r>
    </w:p>
    <w:p w:rsidR="007E33BE" w:rsidRDefault="007E33BE" w:rsidP="004F377C">
      <w:pPr>
        <w:rPr>
          <w:rFonts w:cs="Arial"/>
          <w:b/>
        </w:rPr>
      </w:pPr>
    </w:p>
    <w:p w:rsidR="00D462AD" w:rsidRPr="00D462AD" w:rsidRDefault="00123704" w:rsidP="0049706B">
      <w:pPr>
        <w:pStyle w:val="ListParagraph"/>
        <w:numPr>
          <w:ilvl w:val="0"/>
          <w:numId w:val="2"/>
        </w:numPr>
        <w:tabs>
          <w:tab w:val="clear" w:pos="927"/>
          <w:tab w:val="num" w:pos="-708"/>
        </w:tabs>
        <w:ind w:left="426"/>
        <w:rPr>
          <w:rFonts w:cs="Arial"/>
          <w:b/>
        </w:rPr>
      </w:pPr>
      <w:proofErr w:type="gramStart"/>
      <w:r>
        <w:rPr>
          <w:rFonts w:cs="Arial"/>
        </w:rPr>
        <w:t>An i</w:t>
      </w:r>
      <w:proofErr w:type="gramEnd"/>
      <w:r>
        <w:rPr>
          <w:rFonts w:cs="Arial"/>
        </w:rPr>
        <w:t xml:space="preserve">-learn module has been created for all staff and </w:t>
      </w:r>
      <w:r w:rsidRPr="00786C6B">
        <w:rPr>
          <w:rFonts w:cs="Arial"/>
        </w:rPr>
        <w:t>members</w:t>
      </w:r>
      <w:r>
        <w:rPr>
          <w:rFonts w:cs="Arial"/>
        </w:rPr>
        <w:t xml:space="preserve"> to cover the basic principles of Risk Management and seeks to raise the </w:t>
      </w:r>
      <w:r w:rsidR="00786C6B">
        <w:rPr>
          <w:rFonts w:cs="Arial"/>
        </w:rPr>
        <w:t xml:space="preserve">importance </w:t>
      </w:r>
      <w:r>
        <w:rPr>
          <w:rFonts w:cs="Arial"/>
        </w:rPr>
        <w:t xml:space="preserve">of </w:t>
      </w:r>
      <w:r w:rsidR="00786C6B">
        <w:rPr>
          <w:rFonts w:cs="Arial"/>
        </w:rPr>
        <w:t>r</w:t>
      </w:r>
      <w:r>
        <w:rPr>
          <w:rFonts w:cs="Arial"/>
        </w:rPr>
        <w:t xml:space="preserve">isk </w:t>
      </w:r>
      <w:r w:rsidR="00786C6B">
        <w:rPr>
          <w:rFonts w:cs="Arial"/>
        </w:rPr>
        <w:t xml:space="preserve">management </w:t>
      </w:r>
      <w:r>
        <w:rPr>
          <w:rFonts w:cs="Arial"/>
        </w:rPr>
        <w:t>across the Council</w:t>
      </w:r>
      <w:r w:rsidR="004E2688" w:rsidRPr="004E2688">
        <w:rPr>
          <w:rFonts w:cs="Arial"/>
        </w:rPr>
        <w:t>.</w:t>
      </w:r>
      <w:r>
        <w:rPr>
          <w:rFonts w:cs="Arial"/>
        </w:rPr>
        <w:t xml:space="preserve">  This module is now available on the intranet</w:t>
      </w:r>
      <w:r w:rsidR="00D462AD">
        <w:rPr>
          <w:rFonts w:cs="Arial"/>
        </w:rPr>
        <w:t xml:space="preserve"> following </w:t>
      </w:r>
      <w:r w:rsidR="00FE3361">
        <w:rPr>
          <w:rFonts w:cs="Arial"/>
        </w:rPr>
        <w:t xml:space="preserve">individual </w:t>
      </w:r>
      <w:r w:rsidR="00D462AD">
        <w:rPr>
          <w:rFonts w:cs="Arial"/>
        </w:rPr>
        <w:t>registration through the Councils i-learn training area located at the following web address :</w:t>
      </w:r>
    </w:p>
    <w:p w:rsidR="00D462AD" w:rsidRPr="00D462AD" w:rsidRDefault="00D462AD" w:rsidP="00D462AD">
      <w:pPr>
        <w:pStyle w:val="ListParagraph"/>
        <w:ind w:left="927"/>
        <w:rPr>
          <w:rFonts w:cs="Arial"/>
          <w:b/>
        </w:rPr>
      </w:pPr>
    </w:p>
    <w:p w:rsidR="007E33BE" w:rsidRPr="004E2688" w:rsidRDefault="00D462AD" w:rsidP="00D462AD">
      <w:pPr>
        <w:pStyle w:val="ListParagraph"/>
        <w:ind w:left="927"/>
        <w:rPr>
          <w:rFonts w:cs="Arial"/>
          <w:b/>
        </w:rPr>
      </w:pPr>
      <w:r w:rsidRPr="00D462AD">
        <w:rPr>
          <w:rFonts w:cs="Arial"/>
        </w:rPr>
        <w:t>http://oxfordcity.learningpool.com/</w:t>
      </w:r>
      <w:r w:rsidR="009D258A">
        <w:rPr>
          <w:rFonts w:cs="Arial"/>
        </w:rPr>
        <w:t xml:space="preserve"> </w:t>
      </w:r>
      <w:r w:rsidR="004E2688" w:rsidRPr="004E2688">
        <w:rPr>
          <w:rFonts w:cs="Arial"/>
        </w:rPr>
        <w:t xml:space="preserve"> </w:t>
      </w:r>
      <w:r w:rsidR="004E2688">
        <w:rPr>
          <w:rFonts w:cs="Arial"/>
        </w:rPr>
        <w:t xml:space="preserve"> </w:t>
      </w:r>
    </w:p>
    <w:p w:rsidR="004E2688" w:rsidRPr="004E2688" w:rsidRDefault="004E2688" w:rsidP="004E2688">
      <w:pPr>
        <w:pStyle w:val="ListParagraph"/>
        <w:ind w:left="927"/>
        <w:rPr>
          <w:rFonts w:cs="Arial"/>
          <w:b/>
        </w:rPr>
      </w:pPr>
    </w:p>
    <w:p w:rsidR="004F377C" w:rsidRPr="004F377C" w:rsidRDefault="004F377C" w:rsidP="004F377C">
      <w:pPr>
        <w:rPr>
          <w:rFonts w:cs="Arial"/>
          <w:b/>
        </w:rPr>
      </w:pPr>
      <w:r w:rsidRPr="004F377C">
        <w:rPr>
          <w:rFonts w:cs="Arial"/>
          <w:b/>
        </w:rPr>
        <w:t xml:space="preserve">Risk Scoring Matrix </w:t>
      </w:r>
    </w:p>
    <w:p w:rsidR="0097083A" w:rsidRDefault="0097083A" w:rsidP="0097083A">
      <w:pPr>
        <w:pStyle w:val="ListParagraph"/>
        <w:jc w:val="both"/>
        <w:rPr>
          <w:rFonts w:cs="Arial"/>
          <w:b/>
        </w:rPr>
      </w:pPr>
    </w:p>
    <w:p w:rsidR="0097083A" w:rsidRPr="007E33BE" w:rsidRDefault="0097083A" w:rsidP="0049706B">
      <w:pPr>
        <w:pStyle w:val="ListParagraph"/>
        <w:numPr>
          <w:ilvl w:val="0"/>
          <w:numId w:val="2"/>
        </w:numPr>
        <w:tabs>
          <w:tab w:val="clear" w:pos="927"/>
          <w:tab w:val="num" w:pos="-774"/>
        </w:tabs>
        <w:ind w:left="360"/>
        <w:jc w:val="both"/>
        <w:rPr>
          <w:rFonts w:cs="Arial"/>
          <w:b/>
        </w:rPr>
      </w:pPr>
      <w:r w:rsidRPr="007E33BE">
        <w:rPr>
          <w:rFonts w:cs="Arial"/>
        </w:rPr>
        <w:t>The Council’s methodology for scoring risks is set out below along with a copy of the scoring matrix.</w:t>
      </w:r>
    </w:p>
    <w:p w:rsidR="0097083A" w:rsidRPr="006A1E89" w:rsidRDefault="0097083A" w:rsidP="0049706B">
      <w:pPr>
        <w:pStyle w:val="ListParagraph"/>
        <w:ind w:left="153"/>
        <w:rPr>
          <w:rFonts w:cs="Arial"/>
        </w:rPr>
      </w:pPr>
    </w:p>
    <w:p w:rsidR="0097083A" w:rsidRPr="006A1E89" w:rsidRDefault="00714826" w:rsidP="0049706B">
      <w:pPr>
        <w:numPr>
          <w:ilvl w:val="0"/>
          <w:numId w:val="2"/>
        </w:numPr>
        <w:tabs>
          <w:tab w:val="clear" w:pos="927"/>
          <w:tab w:val="num" w:pos="-774"/>
        </w:tabs>
        <w:ind w:left="360"/>
        <w:jc w:val="both"/>
        <w:rPr>
          <w:rFonts w:cs="Arial"/>
          <w:b/>
        </w:rPr>
      </w:pPr>
      <w:r>
        <w:rPr>
          <w:rFonts w:cs="Arial"/>
        </w:rPr>
        <w:t>It</w:t>
      </w:r>
      <w:r w:rsidRPr="006A1E89">
        <w:rPr>
          <w:rFonts w:cs="Arial"/>
        </w:rPr>
        <w:t xml:space="preserve"> </w:t>
      </w:r>
      <w:r w:rsidR="0097083A" w:rsidRPr="006A1E89">
        <w:rPr>
          <w:rFonts w:cs="Arial"/>
        </w:rPr>
        <w:t xml:space="preserve">is possible to get the same score but end up with a different result in the heat map. For example if the probability of an event </w:t>
      </w:r>
      <w:r w:rsidR="0097083A">
        <w:rPr>
          <w:rFonts w:cs="Arial"/>
        </w:rPr>
        <w:t xml:space="preserve">occurring </w:t>
      </w:r>
      <w:r w:rsidR="0097083A" w:rsidRPr="006A1E89">
        <w:rPr>
          <w:rFonts w:cs="Arial"/>
        </w:rPr>
        <w:t>is high but the impact is low it is likely to have a lower score on the heat map. However</w:t>
      </w:r>
      <w:r w:rsidR="0097083A">
        <w:rPr>
          <w:rFonts w:cs="Arial"/>
        </w:rPr>
        <w:t>,</w:t>
      </w:r>
      <w:r w:rsidR="0097083A" w:rsidRPr="006A1E89">
        <w:rPr>
          <w:rFonts w:cs="Arial"/>
        </w:rPr>
        <w:t xml:space="preserve"> the higher the potential impact score the more likely the event will be classed as a red risk on the </w:t>
      </w:r>
      <w:r w:rsidR="0097083A">
        <w:rPr>
          <w:rFonts w:cs="Arial"/>
        </w:rPr>
        <w:t>matrix</w:t>
      </w:r>
      <w:r w:rsidR="0097083A" w:rsidRPr="006A1E89">
        <w:rPr>
          <w:rFonts w:cs="Arial"/>
        </w:rPr>
        <w:t>.</w:t>
      </w:r>
    </w:p>
    <w:tbl>
      <w:tblPr>
        <w:tblW w:w="5564" w:type="pct"/>
        <w:tblInd w:w="-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51"/>
        <w:gridCol w:w="998"/>
        <w:gridCol w:w="1300"/>
        <w:gridCol w:w="1223"/>
        <w:gridCol w:w="1113"/>
        <w:gridCol w:w="1113"/>
        <w:gridCol w:w="1297"/>
      </w:tblGrid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D2AFC">
              <w:rPr>
                <w:rFonts w:ascii="Verdana" w:hAnsi="Verdana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Almost          Certain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25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Likely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20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Possible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thinDiagCross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15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Unlikely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Horz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10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Rare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HorzStripe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Horz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Horz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thinVertStripe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D2AFC"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97083A" w:rsidRPr="002D2AFC" w:rsidTr="00BE4DD7">
        <w:trPr>
          <w:trHeight w:val="27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2AF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97083A" w:rsidRPr="002D2AFC" w:rsidTr="00BE4DD7">
        <w:trPr>
          <w:trHeight w:val="673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D2AFC">
              <w:rPr>
                <w:rFonts w:ascii="Verdana" w:hAnsi="Verdana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Negligible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Low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Medium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High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83A" w:rsidRPr="002D2AFC" w:rsidRDefault="0097083A" w:rsidP="00BE4DD7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D2AFC">
              <w:rPr>
                <w:rFonts w:ascii="Verdana" w:hAnsi="Verdana" w:cs="Arial"/>
                <w:sz w:val="18"/>
                <w:szCs w:val="20"/>
              </w:rPr>
              <w:t>Very High</w:t>
            </w:r>
          </w:p>
        </w:tc>
      </w:tr>
    </w:tbl>
    <w:p w:rsidR="0097083A" w:rsidRPr="002D2AFC" w:rsidRDefault="0097083A" w:rsidP="0097083A"/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2150"/>
        <w:gridCol w:w="2158"/>
        <w:gridCol w:w="2111"/>
      </w:tblGrid>
      <w:tr w:rsidR="0097083A" w:rsidRPr="002D2AFC" w:rsidTr="00BE4DD7">
        <w:trPr>
          <w:trHeight w:val="277"/>
        </w:trPr>
        <w:tc>
          <w:tcPr>
            <w:tcW w:w="2150" w:type="dxa"/>
            <w:shd w:val="clear" w:color="auto" w:fill="00B050"/>
          </w:tcPr>
          <w:p w:rsidR="0097083A" w:rsidRPr="002D2AFC" w:rsidRDefault="0097083A" w:rsidP="00BE4DD7">
            <w:pPr>
              <w:jc w:val="center"/>
              <w:rPr>
                <w:b/>
                <w:color w:val="FFFFFF" w:themeColor="background1"/>
              </w:rPr>
            </w:pPr>
            <w:r w:rsidRPr="002D2AFC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2158" w:type="dxa"/>
            <w:shd w:val="clear" w:color="auto" w:fill="FFC000"/>
          </w:tcPr>
          <w:p w:rsidR="0097083A" w:rsidRPr="002D2AFC" w:rsidRDefault="0097083A" w:rsidP="00BE4DD7">
            <w:pPr>
              <w:jc w:val="center"/>
              <w:rPr>
                <w:b/>
                <w:color w:val="FFFFFF" w:themeColor="background1"/>
              </w:rPr>
            </w:pPr>
            <w:r w:rsidRPr="002D2AFC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2111" w:type="dxa"/>
            <w:shd w:val="clear" w:color="auto" w:fill="FF0000"/>
          </w:tcPr>
          <w:p w:rsidR="0097083A" w:rsidRPr="002D2AFC" w:rsidRDefault="0097083A" w:rsidP="00BE4DD7">
            <w:pPr>
              <w:jc w:val="center"/>
              <w:rPr>
                <w:b/>
                <w:color w:val="FFFFFF" w:themeColor="background1"/>
              </w:rPr>
            </w:pPr>
            <w:r w:rsidRPr="002D2AFC">
              <w:rPr>
                <w:b/>
                <w:color w:val="FFFFFF" w:themeColor="background1"/>
              </w:rPr>
              <w:t>Red</w:t>
            </w:r>
          </w:p>
        </w:tc>
      </w:tr>
      <w:tr w:rsidR="0097083A" w:rsidRPr="002D2AFC" w:rsidTr="00BE4DD7">
        <w:trPr>
          <w:trHeight w:val="292"/>
        </w:trPr>
        <w:tc>
          <w:tcPr>
            <w:tcW w:w="2150" w:type="dxa"/>
            <w:shd w:val="thinHorzStripe" w:color="auto" w:fill="auto"/>
          </w:tcPr>
          <w:p w:rsidR="0097083A" w:rsidRPr="002D2AFC" w:rsidRDefault="0097083A" w:rsidP="00BE4DD7"/>
        </w:tc>
        <w:tc>
          <w:tcPr>
            <w:tcW w:w="2158" w:type="dxa"/>
            <w:shd w:val="thinVertStripe" w:color="auto" w:fill="auto"/>
          </w:tcPr>
          <w:p w:rsidR="0097083A" w:rsidRPr="002D2AFC" w:rsidRDefault="0097083A" w:rsidP="00BE4DD7"/>
        </w:tc>
        <w:tc>
          <w:tcPr>
            <w:tcW w:w="2111" w:type="dxa"/>
            <w:shd w:val="thinDiagCross" w:color="auto" w:fill="auto"/>
          </w:tcPr>
          <w:p w:rsidR="0097083A" w:rsidRPr="002D2AFC" w:rsidRDefault="0097083A" w:rsidP="00BE4DD7"/>
        </w:tc>
      </w:tr>
    </w:tbl>
    <w:p w:rsidR="0097083A" w:rsidRPr="002D2AFC" w:rsidRDefault="0097083A" w:rsidP="0097083A">
      <w:pPr>
        <w:rPr>
          <w:b/>
        </w:rPr>
      </w:pPr>
      <w:r w:rsidRPr="002D2AFC">
        <w:rPr>
          <w:b/>
        </w:rPr>
        <w:t>Key:</w:t>
      </w:r>
    </w:p>
    <w:p w:rsidR="0097083A" w:rsidRPr="002D2AFC" w:rsidRDefault="0097083A" w:rsidP="0097083A">
      <w:pPr>
        <w:ind w:left="1440" w:firstLine="720"/>
      </w:pPr>
    </w:p>
    <w:p w:rsidR="0097083A" w:rsidRPr="00D8666A" w:rsidRDefault="0097083A" w:rsidP="0097083A">
      <w:pPr>
        <w:rPr>
          <w:rFonts w:cs="Arial"/>
          <w:b/>
        </w:rPr>
      </w:pPr>
      <w:r w:rsidRPr="00D8666A">
        <w:rPr>
          <w:rFonts w:cs="Arial"/>
          <w:b/>
        </w:rPr>
        <w:t xml:space="preserve">Risk </w:t>
      </w:r>
      <w:r w:rsidRPr="00D8666A">
        <w:rPr>
          <w:rFonts w:cs="Arial"/>
          <w:b/>
        </w:rPr>
        <w:lastRenderedPageBreak/>
        <w:t>Identification</w:t>
      </w:r>
    </w:p>
    <w:p w:rsidR="0097083A" w:rsidRPr="00D8666A" w:rsidRDefault="0097083A" w:rsidP="0097083A">
      <w:pPr>
        <w:rPr>
          <w:rFonts w:cs="Arial"/>
          <w:b/>
        </w:rPr>
      </w:pPr>
    </w:p>
    <w:p w:rsidR="0097083A" w:rsidRPr="00D8666A" w:rsidRDefault="0097083A" w:rsidP="0049706B">
      <w:pPr>
        <w:numPr>
          <w:ilvl w:val="0"/>
          <w:numId w:val="2"/>
        </w:numPr>
        <w:tabs>
          <w:tab w:val="clear" w:pos="927"/>
          <w:tab w:val="num" w:pos="-207"/>
        </w:tabs>
        <w:ind w:left="360"/>
        <w:jc w:val="both"/>
        <w:rPr>
          <w:rFonts w:cs="Arial"/>
          <w:b/>
        </w:rPr>
      </w:pPr>
      <w:r w:rsidRPr="00D8666A">
        <w:rPr>
          <w:rFonts w:cs="Arial"/>
          <w:b/>
        </w:rPr>
        <w:t xml:space="preserve">Corporate Risks – </w:t>
      </w:r>
      <w:r w:rsidRPr="00D8666A">
        <w:rPr>
          <w:rFonts w:cs="Arial"/>
        </w:rPr>
        <w:t xml:space="preserve">The Corporate Risk Register (CRR) is reviewed by the Corporate Management Team (CMT) on a quarterly basis, any new risks are incorporated into a revised version of the CRR.  Risk owners for corporate risks are generally held at Director </w:t>
      </w:r>
      <w:proofErr w:type="gramStart"/>
      <w:r w:rsidRPr="00D8666A">
        <w:rPr>
          <w:rFonts w:cs="Arial"/>
        </w:rPr>
        <w:t>level</w:t>
      </w:r>
      <w:proofErr w:type="gramEnd"/>
      <w:r w:rsidRPr="00D8666A">
        <w:rPr>
          <w:rFonts w:cs="Arial"/>
        </w:rPr>
        <w:t>.</w:t>
      </w:r>
    </w:p>
    <w:p w:rsidR="0097083A" w:rsidRPr="00D8666A" w:rsidRDefault="0097083A" w:rsidP="0049706B">
      <w:pPr>
        <w:rPr>
          <w:rFonts w:cs="Arial"/>
          <w:b/>
        </w:rPr>
      </w:pPr>
    </w:p>
    <w:p w:rsidR="0097083A" w:rsidRPr="00D8666A" w:rsidRDefault="0097083A" w:rsidP="0049706B">
      <w:pPr>
        <w:numPr>
          <w:ilvl w:val="0"/>
          <w:numId w:val="2"/>
        </w:numPr>
        <w:tabs>
          <w:tab w:val="clear" w:pos="927"/>
          <w:tab w:val="num" w:pos="-207"/>
        </w:tabs>
        <w:ind w:left="360"/>
        <w:jc w:val="both"/>
        <w:rPr>
          <w:rFonts w:cs="Arial"/>
          <w:b/>
        </w:rPr>
      </w:pPr>
      <w:r w:rsidRPr="00D8666A">
        <w:rPr>
          <w:rFonts w:cs="Arial"/>
          <w:b/>
        </w:rPr>
        <w:t xml:space="preserve">Service Risks – </w:t>
      </w:r>
      <w:r w:rsidRPr="00D8666A">
        <w:rPr>
          <w:rFonts w:cs="Arial"/>
        </w:rPr>
        <w:t>Service area risks are reviewed periodically by Heads of Service and Service Managers.  The Financial Accounting Manager has oversight of all risks and on a quarterly basis will review service risks to determine the need for inclusion in the Corporate Risk Register.</w:t>
      </w:r>
    </w:p>
    <w:p w:rsidR="0097083A" w:rsidRPr="00D8666A" w:rsidRDefault="0097083A" w:rsidP="0049706B">
      <w:pPr>
        <w:rPr>
          <w:rFonts w:cs="Arial"/>
          <w:b/>
        </w:rPr>
      </w:pPr>
    </w:p>
    <w:p w:rsidR="0097083A" w:rsidRPr="0097083A" w:rsidRDefault="0097083A" w:rsidP="0049706B">
      <w:pPr>
        <w:numPr>
          <w:ilvl w:val="0"/>
          <w:numId w:val="2"/>
        </w:numPr>
        <w:tabs>
          <w:tab w:val="clear" w:pos="927"/>
          <w:tab w:val="num" w:pos="360"/>
        </w:tabs>
        <w:ind w:left="360"/>
        <w:jc w:val="both"/>
        <w:rPr>
          <w:rFonts w:cs="Arial"/>
          <w:b/>
        </w:rPr>
      </w:pPr>
      <w:r w:rsidRPr="00D8666A">
        <w:rPr>
          <w:rFonts w:cs="Arial"/>
          <w:b/>
        </w:rPr>
        <w:t xml:space="preserve">Project and Programme Risk – </w:t>
      </w:r>
      <w:r w:rsidRPr="00D8666A">
        <w:rPr>
          <w:rFonts w:cs="Arial"/>
        </w:rPr>
        <w:t>The Council adopts the principles of Prince2 methodology for managing projects. Incorporated within this methodology is a robust process for the management of risk within a project environment.  Each project is managed by the Project Manager who controls and co-ordinates all aspects of the project through to conclusion.</w:t>
      </w:r>
    </w:p>
    <w:p w:rsidR="006646E8" w:rsidRDefault="006646E8">
      <w:pPr>
        <w:rPr>
          <w:rFonts w:cs="Arial"/>
          <w:b/>
        </w:rPr>
      </w:pPr>
    </w:p>
    <w:p w:rsidR="006646E8" w:rsidRDefault="001D4179">
      <w:pPr>
        <w:rPr>
          <w:rFonts w:cs="Arial"/>
          <w:b/>
        </w:rPr>
      </w:pPr>
      <w:r>
        <w:rPr>
          <w:rFonts w:cs="Arial"/>
          <w:b/>
        </w:rPr>
        <w:t xml:space="preserve">Quarter </w:t>
      </w:r>
      <w:r w:rsidR="000B02DD">
        <w:rPr>
          <w:rFonts w:cs="Arial"/>
          <w:b/>
        </w:rPr>
        <w:t xml:space="preserve">4 </w:t>
      </w:r>
      <w:r w:rsidR="006646E8">
        <w:rPr>
          <w:rFonts w:cs="Arial"/>
          <w:b/>
        </w:rPr>
        <w:t>Corporate Risk Register</w:t>
      </w:r>
    </w:p>
    <w:p w:rsidR="006646E8" w:rsidRDefault="006646E8">
      <w:pPr>
        <w:rPr>
          <w:rFonts w:cs="Arial"/>
          <w:b/>
        </w:rPr>
      </w:pPr>
    </w:p>
    <w:p w:rsidR="006646E8" w:rsidRPr="008726C8" w:rsidRDefault="006646E8" w:rsidP="0049706B">
      <w:pPr>
        <w:pStyle w:val="ListParagraph"/>
        <w:numPr>
          <w:ilvl w:val="0"/>
          <w:numId w:val="2"/>
        </w:numPr>
        <w:tabs>
          <w:tab w:val="clear" w:pos="927"/>
          <w:tab w:val="num" w:pos="426"/>
        </w:tabs>
        <w:ind w:left="426"/>
        <w:jc w:val="both"/>
        <w:rPr>
          <w:rFonts w:cs="Arial"/>
          <w:b/>
        </w:rPr>
      </w:pPr>
      <w:r w:rsidRPr="008726C8">
        <w:rPr>
          <w:rFonts w:cs="Arial"/>
          <w:b/>
        </w:rPr>
        <w:t xml:space="preserve"> </w:t>
      </w:r>
      <w:r w:rsidR="008726C8" w:rsidRPr="008726C8">
        <w:rPr>
          <w:rFonts w:cs="Arial"/>
        </w:rPr>
        <w:t xml:space="preserve">The current Corporate Risk Register (Appendix A) shows that there are no red risks and the </w:t>
      </w:r>
      <w:proofErr w:type="gramStart"/>
      <w:r w:rsidR="003645B6">
        <w:rPr>
          <w:rFonts w:cs="Arial"/>
        </w:rPr>
        <w:t xml:space="preserve">number of red </w:t>
      </w:r>
      <w:r w:rsidR="008726C8" w:rsidRPr="008726C8">
        <w:rPr>
          <w:rFonts w:cs="Arial"/>
        </w:rPr>
        <w:t>risks have</w:t>
      </w:r>
      <w:proofErr w:type="gramEnd"/>
      <w:r w:rsidR="008726C8" w:rsidRPr="008726C8">
        <w:rPr>
          <w:rFonts w:cs="Arial"/>
        </w:rPr>
        <w:t xml:space="preserve"> remained at </w:t>
      </w:r>
      <w:r w:rsidR="003645B6">
        <w:rPr>
          <w:rFonts w:cs="Arial"/>
        </w:rPr>
        <w:t>zero</w:t>
      </w:r>
      <w:r w:rsidR="003645B6" w:rsidRPr="008726C8">
        <w:rPr>
          <w:rFonts w:cs="Arial"/>
        </w:rPr>
        <w:t xml:space="preserve"> </w:t>
      </w:r>
      <w:r w:rsidR="008726C8" w:rsidRPr="008726C8">
        <w:rPr>
          <w:rFonts w:cs="Arial"/>
        </w:rPr>
        <w:t xml:space="preserve">since Q4 2014. The table below shows the movement of risks over the last 15 months. </w:t>
      </w:r>
    </w:p>
    <w:p w:rsidR="00C02A4A" w:rsidRDefault="00C02A4A" w:rsidP="006646E8">
      <w:pPr>
        <w:rPr>
          <w:rFonts w:cs="Arial"/>
          <w:b/>
        </w:rPr>
      </w:pP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134"/>
        <w:gridCol w:w="1134"/>
        <w:gridCol w:w="1134"/>
      </w:tblGrid>
      <w:tr w:rsidR="00C21AFB" w:rsidRPr="002B36CF" w:rsidTr="00C21AFB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21AFB" w:rsidRPr="002B36CF" w:rsidRDefault="00C21AFB" w:rsidP="00BE4DD7">
            <w:pPr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Current Risk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Q4</w:t>
            </w:r>
          </w:p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2013/14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Q1</w:t>
            </w:r>
          </w:p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2014/15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Q2 2014/15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Q3 2014/15</w:t>
            </w:r>
          </w:p>
        </w:tc>
        <w:tc>
          <w:tcPr>
            <w:tcW w:w="1134" w:type="dxa"/>
            <w:shd w:val="clear" w:color="auto" w:fill="E0E0E0"/>
          </w:tcPr>
          <w:p w:rsidR="00C21AFB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Q4</w:t>
            </w:r>
            <w:r w:rsidR="00D83CC5">
              <w:rPr>
                <w:rFonts w:cs="Arial"/>
                <w:b/>
                <w:lang w:val="en-US"/>
              </w:rPr>
              <w:t xml:space="preserve"> 2014/15</w:t>
            </w:r>
          </w:p>
        </w:tc>
      </w:tr>
      <w:tr w:rsidR="00C21AFB" w:rsidRPr="002B36CF" w:rsidTr="00C21AFB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21AFB" w:rsidRPr="002B36CF" w:rsidRDefault="00C21AFB" w:rsidP="00BE4DD7">
            <w:pPr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Red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21AFB" w:rsidRPr="00CE3524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CE3524">
              <w:rPr>
                <w:rFonts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C21AFB" w:rsidRPr="00CE3524" w:rsidRDefault="00C5269C" w:rsidP="00C5269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</w:tr>
      <w:tr w:rsidR="00C21AFB" w:rsidRPr="002B36CF" w:rsidTr="00C21AFB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21AFB" w:rsidRPr="002B36CF" w:rsidRDefault="00C21AFB" w:rsidP="00BE4DD7">
            <w:pPr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 xml:space="preserve">Amber 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21AFB" w:rsidRPr="00CE3524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CE3524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21AFB" w:rsidRPr="00CE3524" w:rsidRDefault="00C5269C" w:rsidP="00C5269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</w:t>
            </w:r>
          </w:p>
        </w:tc>
      </w:tr>
      <w:tr w:rsidR="00C21AFB" w:rsidRPr="002B36CF" w:rsidTr="00C21AFB">
        <w:trPr>
          <w:trHeight w:val="240"/>
        </w:trPr>
        <w:tc>
          <w:tcPr>
            <w:tcW w:w="1809" w:type="dxa"/>
            <w:shd w:val="clear" w:color="auto" w:fill="auto"/>
            <w:noWrap/>
            <w:vAlign w:val="bottom"/>
          </w:tcPr>
          <w:p w:rsidR="00C21AFB" w:rsidRPr="002B36CF" w:rsidRDefault="00C21AFB" w:rsidP="00BE4DD7">
            <w:pPr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Green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2B36CF">
              <w:rPr>
                <w:rFonts w:cs="Arial"/>
                <w:lang w:val="en-US"/>
              </w:rPr>
              <w:t>6</w:t>
            </w:r>
          </w:p>
        </w:tc>
        <w:tc>
          <w:tcPr>
            <w:tcW w:w="1134" w:type="dxa"/>
          </w:tcPr>
          <w:p w:rsidR="00C21AFB" w:rsidRPr="00CE3524" w:rsidRDefault="00C21AFB" w:rsidP="00BE4DD7">
            <w:pPr>
              <w:jc w:val="right"/>
              <w:rPr>
                <w:rFonts w:cs="Arial"/>
                <w:lang w:val="en-US"/>
              </w:rPr>
            </w:pPr>
            <w:r w:rsidRPr="00CE3524">
              <w:rPr>
                <w:rFonts w:cs="Arial"/>
                <w:lang w:val="en-US"/>
              </w:rPr>
              <w:t>5</w:t>
            </w:r>
          </w:p>
        </w:tc>
        <w:tc>
          <w:tcPr>
            <w:tcW w:w="1134" w:type="dxa"/>
          </w:tcPr>
          <w:p w:rsidR="00C21AFB" w:rsidRPr="00CE3524" w:rsidRDefault="00C5269C" w:rsidP="00C5269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</w:t>
            </w:r>
          </w:p>
        </w:tc>
      </w:tr>
      <w:tr w:rsidR="00C21AFB" w:rsidRPr="002B36CF" w:rsidTr="00C21AFB">
        <w:trPr>
          <w:trHeight w:val="187"/>
        </w:trPr>
        <w:tc>
          <w:tcPr>
            <w:tcW w:w="1809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C21AFB" w:rsidRPr="002B36CF" w:rsidRDefault="00C21AFB" w:rsidP="00BE4DD7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21AFB" w:rsidRPr="002B36CF" w:rsidRDefault="00C21AFB" w:rsidP="00BE4DD7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C21AFB" w:rsidRPr="002B36CF" w:rsidRDefault="00C21AFB" w:rsidP="00C5269C">
            <w:pPr>
              <w:jc w:val="center"/>
              <w:rPr>
                <w:rFonts w:cs="Arial"/>
                <w:lang w:val="en-US"/>
              </w:rPr>
            </w:pPr>
          </w:p>
        </w:tc>
      </w:tr>
      <w:tr w:rsidR="00C21AFB" w:rsidRPr="002B36CF" w:rsidTr="00C21AFB">
        <w:trPr>
          <w:trHeight w:val="240"/>
        </w:trPr>
        <w:tc>
          <w:tcPr>
            <w:tcW w:w="1809" w:type="dxa"/>
            <w:shd w:val="clear" w:color="auto" w:fill="E0E0E0"/>
            <w:noWrap/>
            <w:vAlign w:val="bottom"/>
          </w:tcPr>
          <w:p w:rsidR="00C21AFB" w:rsidRPr="002B36CF" w:rsidRDefault="00C21AFB" w:rsidP="00BE4DD7">
            <w:pPr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Total risks</w:t>
            </w:r>
          </w:p>
        </w:tc>
        <w:tc>
          <w:tcPr>
            <w:tcW w:w="1134" w:type="dxa"/>
            <w:shd w:val="clear" w:color="auto" w:fill="E0E0E0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 w:rsidRPr="002B36CF"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21AFB" w:rsidRPr="002B36CF" w:rsidRDefault="00C21AFB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E0E0E0"/>
          </w:tcPr>
          <w:p w:rsidR="00C21AFB" w:rsidRDefault="00C5269C" w:rsidP="00C5269C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11</w:t>
            </w:r>
          </w:p>
        </w:tc>
      </w:tr>
    </w:tbl>
    <w:p w:rsidR="00C02A4A" w:rsidRDefault="00C02A4A" w:rsidP="006646E8">
      <w:pPr>
        <w:rPr>
          <w:rFonts w:cs="Arial"/>
          <w:b/>
        </w:rPr>
      </w:pPr>
    </w:p>
    <w:p w:rsidR="004A2CEC" w:rsidRDefault="004A2CEC" w:rsidP="004A2CEC">
      <w:pPr>
        <w:pStyle w:val="ListParagraph"/>
        <w:ind w:left="927"/>
        <w:rPr>
          <w:rFonts w:cs="Arial"/>
          <w:b/>
        </w:rPr>
      </w:pPr>
    </w:p>
    <w:p w:rsidR="004A2CEC" w:rsidRDefault="00434C73" w:rsidP="0049706B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 xml:space="preserve"> Corporat</w:t>
      </w:r>
      <w:bookmarkStart w:id="0" w:name="_GoBack"/>
      <w:bookmarkEnd w:id="0"/>
      <w:r>
        <w:rPr>
          <w:rFonts w:cs="Arial"/>
          <w:b/>
        </w:rPr>
        <w:t>e Risk Summary</w:t>
      </w:r>
    </w:p>
    <w:p w:rsidR="00434C73" w:rsidRDefault="00434C73" w:rsidP="004A2CEC">
      <w:pPr>
        <w:pStyle w:val="ListParagraph"/>
        <w:ind w:left="927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D462AD" w:rsidRPr="0049706B" w:rsidRDefault="004A2CEC" w:rsidP="00D462AD">
      <w:pPr>
        <w:pStyle w:val="ListParagraph"/>
        <w:numPr>
          <w:ilvl w:val="0"/>
          <w:numId w:val="2"/>
        </w:numPr>
        <w:tabs>
          <w:tab w:val="clear" w:pos="927"/>
          <w:tab w:val="num" w:pos="426"/>
        </w:tabs>
        <w:ind w:left="426"/>
        <w:rPr>
          <w:rFonts w:cs="Arial"/>
        </w:rPr>
      </w:pPr>
      <w:r w:rsidRPr="000B6C62">
        <w:rPr>
          <w:rFonts w:cs="Arial"/>
        </w:rPr>
        <w:t xml:space="preserve">The table below shows </w:t>
      </w:r>
      <w:r>
        <w:rPr>
          <w:rFonts w:cs="Arial"/>
        </w:rPr>
        <w:t xml:space="preserve">the how the </w:t>
      </w:r>
      <w:r w:rsidR="003C2714">
        <w:rPr>
          <w:rFonts w:cs="Arial"/>
        </w:rPr>
        <w:t>corporate</w:t>
      </w:r>
      <w:r>
        <w:rPr>
          <w:rFonts w:cs="Arial"/>
        </w:rPr>
        <w:t xml:space="preserve"> risks have been scored in accordance to the risk matrix.</w:t>
      </w:r>
    </w:p>
    <w:p w:rsidR="00D462AD" w:rsidRPr="00D462AD" w:rsidRDefault="00D462AD" w:rsidP="00D462AD">
      <w:pPr>
        <w:rPr>
          <w:rFonts w:cs="Arial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780"/>
        <w:gridCol w:w="1380"/>
        <w:gridCol w:w="1380"/>
        <w:gridCol w:w="1380"/>
        <w:gridCol w:w="1380"/>
        <w:gridCol w:w="1380"/>
      </w:tblGrid>
      <w:tr w:rsidR="006433D6" w:rsidRPr="006433D6" w:rsidTr="006433D6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lastRenderedPageBreak/>
              <w:t xml:space="preserve">Current Probability 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Rare (1)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Unlikely (2)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Possible (3)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Likely (4)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Almost Certain (5) </w:t>
            </w:r>
          </w:p>
        </w:tc>
      </w:tr>
      <w:tr w:rsidR="006433D6" w:rsidRPr="006433D6" w:rsidTr="006433D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Current Impact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6433D6" w:rsidRPr="006433D6" w:rsidTr="006433D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Insignificant (1)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6433D6" w:rsidRPr="006433D6" w:rsidTr="006433D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Minor (2)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6433D6" w:rsidRPr="006433D6" w:rsidTr="006433D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Moderate (3)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6433D6" w:rsidRPr="006433D6" w:rsidTr="006433D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Major (4) 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6433D6" w:rsidRPr="006433D6" w:rsidTr="006433D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proofErr w:type="spellStart"/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Castastrophic</w:t>
            </w:r>
            <w:proofErr w:type="spellEnd"/>
            <w:r w:rsidRPr="006433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(5)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33D6" w:rsidRPr="006433D6" w:rsidRDefault="006433D6" w:rsidP="006433D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6433D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:rsidR="006433D6" w:rsidRDefault="006433D6" w:rsidP="006433D6">
      <w:pPr>
        <w:rPr>
          <w:rFonts w:cs="Arial"/>
        </w:rPr>
      </w:pPr>
    </w:p>
    <w:p w:rsidR="006433D6" w:rsidRPr="006433D6" w:rsidRDefault="006433D6" w:rsidP="006433D6">
      <w:pPr>
        <w:rPr>
          <w:rFonts w:cs="Arial"/>
        </w:rPr>
      </w:pPr>
    </w:p>
    <w:p w:rsidR="00C95027" w:rsidRDefault="001D4179" w:rsidP="006646E8">
      <w:pPr>
        <w:rPr>
          <w:rFonts w:cs="Arial"/>
          <w:b/>
        </w:rPr>
      </w:pPr>
      <w:r>
        <w:rPr>
          <w:rFonts w:cs="Arial"/>
          <w:b/>
        </w:rPr>
        <w:t xml:space="preserve">Quarter </w:t>
      </w:r>
      <w:r w:rsidR="000B02DD">
        <w:rPr>
          <w:rFonts w:cs="Arial"/>
          <w:b/>
        </w:rPr>
        <w:t xml:space="preserve">4 </w:t>
      </w:r>
      <w:r w:rsidR="00C95027">
        <w:rPr>
          <w:rFonts w:cs="Arial"/>
          <w:b/>
        </w:rPr>
        <w:t xml:space="preserve">Service Risk Register </w:t>
      </w:r>
    </w:p>
    <w:p w:rsidR="001E557E" w:rsidRDefault="001E557E" w:rsidP="001E557E">
      <w:pPr>
        <w:ind w:left="567"/>
        <w:jc w:val="both"/>
        <w:rPr>
          <w:rFonts w:cs="Arial"/>
        </w:rPr>
      </w:pPr>
    </w:p>
    <w:p w:rsidR="001E557E" w:rsidRDefault="001E557E" w:rsidP="0049706B">
      <w:pPr>
        <w:pStyle w:val="ListParagraph"/>
        <w:numPr>
          <w:ilvl w:val="0"/>
          <w:numId w:val="2"/>
        </w:numPr>
        <w:tabs>
          <w:tab w:val="clear" w:pos="927"/>
          <w:tab w:val="num" w:pos="426"/>
        </w:tabs>
        <w:ind w:left="426"/>
        <w:jc w:val="both"/>
        <w:rPr>
          <w:rFonts w:cs="Arial"/>
        </w:rPr>
      </w:pPr>
      <w:r w:rsidRPr="008726C8">
        <w:rPr>
          <w:rFonts w:cs="Arial"/>
        </w:rPr>
        <w:t>The table below shows the number of current risks for Q</w:t>
      </w:r>
      <w:r w:rsidR="009D258A">
        <w:rPr>
          <w:rFonts w:cs="Arial"/>
        </w:rPr>
        <w:t>4</w:t>
      </w:r>
      <w:r w:rsidRPr="008726C8">
        <w:rPr>
          <w:rFonts w:cs="Arial"/>
        </w:rPr>
        <w:t xml:space="preserve"> 2014/15 compared with </w:t>
      </w:r>
      <w:r w:rsidR="0020405A">
        <w:rPr>
          <w:rFonts w:cs="Arial"/>
        </w:rPr>
        <w:t>the last 1</w:t>
      </w:r>
      <w:r w:rsidR="009D258A">
        <w:rPr>
          <w:rFonts w:cs="Arial"/>
        </w:rPr>
        <w:t>2</w:t>
      </w:r>
      <w:r w:rsidR="0020405A">
        <w:rPr>
          <w:rFonts w:cs="Arial"/>
        </w:rPr>
        <w:t xml:space="preserve"> months</w:t>
      </w:r>
      <w:r w:rsidR="00110C9E">
        <w:rPr>
          <w:rFonts w:cs="Arial"/>
        </w:rPr>
        <w:t xml:space="preserve">. </w:t>
      </w:r>
      <w:r w:rsidR="00CC4986">
        <w:rPr>
          <w:rFonts w:cs="Arial"/>
        </w:rPr>
        <w:t>Three</w:t>
      </w:r>
      <w:r w:rsidR="00110C9E">
        <w:rPr>
          <w:rFonts w:cs="Arial"/>
        </w:rPr>
        <w:t xml:space="preserve"> risks have been closed since the last quarter.</w:t>
      </w:r>
      <w:r w:rsidR="0020405A">
        <w:rPr>
          <w:rFonts w:cs="Arial"/>
        </w:rPr>
        <w:t xml:space="preserve">  </w:t>
      </w:r>
    </w:p>
    <w:p w:rsidR="00434C73" w:rsidRDefault="00434C73" w:rsidP="00434C73">
      <w:pPr>
        <w:jc w:val="both"/>
        <w:rPr>
          <w:rFonts w:cs="Arial"/>
        </w:rPr>
      </w:pPr>
    </w:p>
    <w:p w:rsidR="001E557E" w:rsidRDefault="001E557E" w:rsidP="001E557E">
      <w:pPr>
        <w:jc w:val="both"/>
        <w:rPr>
          <w:rFonts w:cs="Arial"/>
        </w:rPr>
      </w:pPr>
    </w:p>
    <w:tbl>
      <w:tblPr>
        <w:tblW w:w="71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"/>
        <w:gridCol w:w="1778"/>
        <w:gridCol w:w="1084"/>
        <w:gridCol w:w="1084"/>
        <w:gridCol w:w="1084"/>
        <w:gridCol w:w="1084"/>
        <w:gridCol w:w="831"/>
        <w:gridCol w:w="254"/>
      </w:tblGrid>
      <w:tr w:rsidR="004413BE" w:rsidRPr="00D8666A" w:rsidTr="004413BE">
        <w:trPr>
          <w:gridBefore w:val="1"/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Current Risk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Q4</w:t>
            </w:r>
          </w:p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2013/14</w:t>
            </w:r>
          </w:p>
        </w:tc>
        <w:tc>
          <w:tcPr>
            <w:tcW w:w="1084" w:type="dxa"/>
          </w:tcPr>
          <w:p w:rsidR="004413BE" w:rsidRPr="00D8666A" w:rsidRDefault="004413BE" w:rsidP="001E557E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Q1 2014/15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Q2 2014/15</w:t>
            </w:r>
          </w:p>
        </w:tc>
        <w:tc>
          <w:tcPr>
            <w:tcW w:w="1084" w:type="dxa"/>
            <w:shd w:val="clear" w:color="auto" w:fill="FFFFFF" w:themeFill="background1"/>
            <w:vAlign w:val="bottom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Q3 2014/15</w:t>
            </w:r>
          </w:p>
        </w:tc>
        <w:tc>
          <w:tcPr>
            <w:tcW w:w="1084" w:type="dxa"/>
            <w:gridSpan w:val="2"/>
            <w:shd w:val="clear" w:color="auto" w:fill="E0E0E0"/>
          </w:tcPr>
          <w:p w:rsidR="004413BE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Q4 2014/15</w:t>
            </w:r>
          </w:p>
        </w:tc>
      </w:tr>
      <w:tr w:rsidR="004413BE" w:rsidRPr="00D8666A" w:rsidTr="004413BE">
        <w:trPr>
          <w:gridBefore w:val="1"/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Red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vAlign w:val="bottom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gridSpan w:val="2"/>
          </w:tcPr>
          <w:p w:rsidR="004413BE" w:rsidRDefault="00123704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</w:tr>
      <w:tr w:rsidR="004413BE" w:rsidRPr="00D8666A" w:rsidTr="004413BE">
        <w:trPr>
          <w:gridBefore w:val="1"/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 xml:space="preserve">Amber 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38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36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</w:t>
            </w:r>
          </w:p>
        </w:tc>
        <w:tc>
          <w:tcPr>
            <w:tcW w:w="1084" w:type="dxa"/>
            <w:vAlign w:val="bottom"/>
          </w:tcPr>
          <w:p w:rsidR="004413BE" w:rsidRPr="00D8666A" w:rsidRDefault="004413BE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</w:t>
            </w:r>
          </w:p>
        </w:tc>
        <w:tc>
          <w:tcPr>
            <w:tcW w:w="1084" w:type="dxa"/>
            <w:gridSpan w:val="2"/>
          </w:tcPr>
          <w:p w:rsidR="004413BE" w:rsidRDefault="00BC219F" w:rsidP="00CC4986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  <w:r w:rsidR="00123704">
              <w:rPr>
                <w:rFonts w:cs="Arial"/>
                <w:lang w:val="en-US"/>
              </w:rPr>
              <w:t>9</w:t>
            </w:r>
          </w:p>
        </w:tc>
      </w:tr>
      <w:tr w:rsidR="004413BE" w:rsidRPr="00D8666A" w:rsidTr="004413BE">
        <w:trPr>
          <w:gridBefore w:val="1"/>
          <w:trHeight w:val="240"/>
        </w:trPr>
        <w:tc>
          <w:tcPr>
            <w:tcW w:w="1778" w:type="dxa"/>
            <w:shd w:val="clear" w:color="auto" w:fill="auto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Green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46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</w:t>
            </w:r>
          </w:p>
        </w:tc>
        <w:tc>
          <w:tcPr>
            <w:tcW w:w="1084" w:type="dxa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36</w:t>
            </w:r>
          </w:p>
        </w:tc>
        <w:tc>
          <w:tcPr>
            <w:tcW w:w="1084" w:type="dxa"/>
            <w:vAlign w:val="bottom"/>
          </w:tcPr>
          <w:p w:rsidR="004413BE" w:rsidRPr="00D8666A" w:rsidRDefault="004413BE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39</w:t>
            </w:r>
          </w:p>
        </w:tc>
        <w:tc>
          <w:tcPr>
            <w:tcW w:w="1084" w:type="dxa"/>
            <w:gridSpan w:val="2"/>
          </w:tcPr>
          <w:p w:rsidR="004413BE" w:rsidRDefault="00CC4986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35</w:t>
            </w:r>
          </w:p>
        </w:tc>
      </w:tr>
      <w:tr w:rsidR="004413BE" w:rsidRPr="00D8666A" w:rsidTr="004413BE">
        <w:trPr>
          <w:gridBefore w:val="1"/>
          <w:trHeight w:val="240"/>
        </w:trPr>
        <w:tc>
          <w:tcPr>
            <w:tcW w:w="1778" w:type="dxa"/>
            <w:tcBorders>
              <w:bottom w:val="single" w:sz="8" w:space="0" w:color="000000"/>
            </w:tcBorders>
            <w:shd w:val="clear" w:color="auto" w:fill="E0E0E0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Total risks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 w:rsidRPr="00D8666A">
              <w:rPr>
                <w:rFonts w:cs="Arial"/>
                <w:b/>
                <w:lang w:val="en-US"/>
              </w:rPr>
              <w:t>84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81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81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E0E0E0"/>
            <w:vAlign w:val="bottom"/>
          </w:tcPr>
          <w:p w:rsidR="004413BE" w:rsidRPr="00D8666A" w:rsidRDefault="004413BE" w:rsidP="00BE4DD7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77</w:t>
            </w:r>
          </w:p>
        </w:tc>
        <w:tc>
          <w:tcPr>
            <w:tcW w:w="1084" w:type="dxa"/>
            <w:gridSpan w:val="2"/>
            <w:tcBorders>
              <w:bottom w:val="single" w:sz="8" w:space="0" w:color="000000"/>
            </w:tcBorders>
            <w:shd w:val="clear" w:color="auto" w:fill="E0E0E0"/>
          </w:tcPr>
          <w:p w:rsidR="004413BE" w:rsidRDefault="00BC219F" w:rsidP="00CC4986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7</w:t>
            </w:r>
            <w:r w:rsidR="00CC4986">
              <w:rPr>
                <w:rFonts w:cs="Arial"/>
                <w:b/>
                <w:lang w:val="en-US"/>
              </w:rPr>
              <w:t>3</w:t>
            </w:r>
          </w:p>
        </w:tc>
      </w:tr>
      <w:tr w:rsidR="004413BE" w:rsidRPr="00D8666A" w:rsidTr="004413BE">
        <w:trPr>
          <w:gridBefore w:val="1"/>
          <w:trHeight w:val="240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New risks in quarter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Default="00BC219F" w:rsidP="009F27D2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</w:tr>
      <w:tr w:rsidR="004413BE" w:rsidRPr="00D8666A" w:rsidTr="0049706B">
        <w:trPr>
          <w:gridAfter w:val="1"/>
          <w:wAfter w:w="567" w:type="dxa"/>
          <w:trHeight w:val="240"/>
        </w:trPr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13BE" w:rsidRPr="00D8666A" w:rsidRDefault="004413BE" w:rsidP="00BE4DD7">
            <w:pPr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Closed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 w:rsidRPr="00D8666A">
              <w:rPr>
                <w:rFonts w:cs="Arial"/>
                <w:lang w:val="en-US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13BE" w:rsidRPr="00D8666A" w:rsidRDefault="004413BE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BE" w:rsidRDefault="00CC4986" w:rsidP="00BE4DD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</w:tr>
    </w:tbl>
    <w:p w:rsidR="001E557E" w:rsidRPr="001E557E" w:rsidRDefault="001E557E" w:rsidP="0049706B">
      <w:pPr>
        <w:jc w:val="both"/>
        <w:rPr>
          <w:rFonts w:cs="Arial"/>
        </w:rPr>
      </w:pPr>
    </w:p>
    <w:p w:rsidR="001E557E" w:rsidRPr="001E557E" w:rsidRDefault="001E557E" w:rsidP="0049706B">
      <w:pPr>
        <w:pStyle w:val="ListParagraph"/>
        <w:ind w:left="360"/>
        <w:jc w:val="both"/>
        <w:rPr>
          <w:rFonts w:cs="Arial"/>
        </w:rPr>
      </w:pPr>
    </w:p>
    <w:p w:rsidR="00C95027" w:rsidRDefault="00434C73" w:rsidP="0049706B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 xml:space="preserve"> Service Area Risk Summary </w:t>
      </w:r>
    </w:p>
    <w:p w:rsidR="000B6C62" w:rsidRPr="000B6C62" w:rsidRDefault="000B6C62" w:rsidP="0049706B">
      <w:pPr>
        <w:rPr>
          <w:rFonts w:cs="Arial"/>
          <w:b/>
        </w:rPr>
      </w:pPr>
    </w:p>
    <w:p w:rsidR="00110C9E" w:rsidRDefault="00110C9E" w:rsidP="0049706B">
      <w:pPr>
        <w:pStyle w:val="ListParagraph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0B6C62">
        <w:rPr>
          <w:rFonts w:cs="Arial"/>
        </w:rPr>
        <w:t xml:space="preserve">The table below shows </w:t>
      </w:r>
      <w:r w:rsidR="000B6C62">
        <w:rPr>
          <w:rFonts w:cs="Arial"/>
        </w:rPr>
        <w:t>the how the service area risks have been scored in accordance to the risk matrix.</w:t>
      </w:r>
    </w:p>
    <w:p w:rsidR="006F555C" w:rsidRDefault="006F555C" w:rsidP="0049706B">
      <w:pPr>
        <w:pStyle w:val="ListParagraph"/>
        <w:ind w:left="360"/>
        <w:rPr>
          <w:rFonts w:cs="Arial"/>
        </w:rPr>
      </w:pPr>
    </w:p>
    <w:p w:rsidR="004413BE" w:rsidRDefault="004413BE" w:rsidP="0049706B">
      <w:pPr>
        <w:rPr>
          <w:rFonts w:cs="Arial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780"/>
        <w:gridCol w:w="1380"/>
        <w:gridCol w:w="1380"/>
        <w:gridCol w:w="1380"/>
        <w:gridCol w:w="1380"/>
        <w:gridCol w:w="1380"/>
      </w:tblGrid>
      <w:tr w:rsidR="00CC4986" w:rsidRPr="00CC4986" w:rsidTr="0049706B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Current Probability </w:t>
            </w:r>
          </w:p>
        </w:tc>
        <w:tc>
          <w:tcPr>
            <w:tcW w:w="1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Rare (1)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Unlikely (2)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Possible (3)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Likely (4)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Almost Certain (5) </w:t>
            </w:r>
          </w:p>
        </w:tc>
      </w:tr>
      <w:tr w:rsidR="00CC4986" w:rsidRPr="00CC4986" w:rsidTr="0049706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Current Impact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CC4986" w:rsidRPr="00CC4986" w:rsidTr="0049706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Insignificant (1)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C4986" w:rsidRPr="00CC4986" w:rsidTr="0049706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Minor (2)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C4986" w:rsidRPr="00CC4986" w:rsidTr="0049706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Moderate (3)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</w:t>
            </w:r>
            <w:r w:rsidR="0012370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C4986" w:rsidRPr="00CC4986" w:rsidTr="0049706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Major (4) 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C4986" w:rsidRPr="00CC4986" w:rsidTr="0049706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proofErr w:type="spellStart"/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Castastrophic</w:t>
            </w:r>
            <w:proofErr w:type="spellEnd"/>
            <w:r w:rsidRPr="00CC498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(5)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4986" w:rsidRPr="00CC4986" w:rsidRDefault="00CC4986" w:rsidP="00CC49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4986" w:rsidRPr="00CC4986" w:rsidRDefault="00CC4986" w:rsidP="00CC498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C4986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:rsidR="004413BE" w:rsidRDefault="004413BE" w:rsidP="0049706B">
      <w:pPr>
        <w:rPr>
          <w:rFonts w:cs="Arial"/>
        </w:rPr>
      </w:pPr>
    </w:p>
    <w:p w:rsidR="006646E8" w:rsidRPr="00CA509D" w:rsidRDefault="006646E8" w:rsidP="0049706B">
      <w:pPr>
        <w:pStyle w:val="ListParagraph"/>
        <w:ind w:left="0"/>
        <w:rPr>
          <w:rFonts w:cs="Arial"/>
          <w:b/>
        </w:rPr>
      </w:pPr>
      <w:r w:rsidRPr="00CA509D">
        <w:rPr>
          <w:rFonts w:cs="Arial"/>
          <w:b/>
        </w:rPr>
        <w:t>Legal Issues</w:t>
      </w:r>
    </w:p>
    <w:p w:rsidR="0097083A" w:rsidRDefault="0097083A" w:rsidP="0049706B">
      <w:pPr>
        <w:rPr>
          <w:rFonts w:cs="Arial"/>
          <w:b/>
        </w:rPr>
      </w:pPr>
    </w:p>
    <w:p w:rsidR="0097083A" w:rsidRPr="0097083A" w:rsidRDefault="0097083A" w:rsidP="0049706B">
      <w:pPr>
        <w:pStyle w:val="ListParagraph"/>
        <w:numPr>
          <w:ilvl w:val="0"/>
          <w:numId w:val="2"/>
        </w:numPr>
        <w:tabs>
          <w:tab w:val="clear" w:pos="927"/>
          <w:tab w:val="num" w:pos="-774"/>
        </w:tabs>
        <w:ind w:left="360"/>
        <w:jc w:val="both"/>
        <w:rPr>
          <w:rFonts w:cs="Arial"/>
          <w:b/>
        </w:rPr>
      </w:pPr>
      <w:r w:rsidRPr="00871CD8">
        <w:rPr>
          <w:rFonts w:cs="Arial"/>
        </w:rPr>
        <w:t>There are no legal implications directly relevant to this report</w:t>
      </w:r>
      <w:r>
        <w:rPr>
          <w:rFonts w:cs="Arial"/>
        </w:rPr>
        <w:t xml:space="preserve"> but having proper arrangements to manage risk throughout the organisation is an important component of corporate governance.</w:t>
      </w:r>
    </w:p>
    <w:p w:rsidR="004A2CEC" w:rsidRDefault="004A2CEC" w:rsidP="0049706B">
      <w:pPr>
        <w:jc w:val="both"/>
        <w:rPr>
          <w:rFonts w:cs="Arial"/>
          <w:i/>
        </w:rPr>
      </w:pPr>
    </w:p>
    <w:p w:rsidR="007B6E54" w:rsidRDefault="007B6E54" w:rsidP="0049706B">
      <w:pPr>
        <w:rPr>
          <w:rFonts w:cs="Arial"/>
          <w:b/>
        </w:rPr>
      </w:pPr>
      <w:r w:rsidRPr="007B6E54">
        <w:rPr>
          <w:rFonts w:cs="Arial"/>
          <w:b/>
        </w:rPr>
        <w:t>Financial Issues</w:t>
      </w:r>
    </w:p>
    <w:p w:rsidR="0097083A" w:rsidRDefault="0097083A" w:rsidP="0049706B">
      <w:pPr>
        <w:rPr>
          <w:rFonts w:cs="Arial"/>
          <w:b/>
        </w:rPr>
      </w:pPr>
    </w:p>
    <w:p w:rsidR="0097083A" w:rsidRPr="0049706B" w:rsidRDefault="0097083A" w:rsidP="0049706B">
      <w:pPr>
        <w:pStyle w:val="ListParagraph"/>
        <w:numPr>
          <w:ilvl w:val="0"/>
          <w:numId w:val="2"/>
        </w:numPr>
        <w:tabs>
          <w:tab w:val="clear" w:pos="927"/>
          <w:tab w:val="num" w:pos="-207"/>
        </w:tabs>
        <w:ind w:left="360"/>
        <w:jc w:val="both"/>
        <w:rPr>
          <w:rFonts w:cs="Arial"/>
        </w:rPr>
      </w:pPr>
      <w:r w:rsidRPr="0097083A">
        <w:rPr>
          <w:rFonts w:cs="Arial"/>
        </w:rPr>
        <w:t xml:space="preserve">The Robust management of risk should assist in mitigating the financial impact to the Council should the event occur. </w:t>
      </w:r>
    </w:p>
    <w:p w:rsidR="00F5664A" w:rsidRPr="0097083A" w:rsidRDefault="00F5664A" w:rsidP="0097083A">
      <w:pPr>
        <w:pStyle w:val="ListParagraph"/>
        <w:ind w:left="927"/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Environmental Impact</w:t>
      </w:r>
    </w:p>
    <w:p w:rsidR="0097083A" w:rsidRDefault="0097083A">
      <w:pPr>
        <w:rPr>
          <w:rFonts w:cs="Arial"/>
          <w:b/>
        </w:rPr>
      </w:pPr>
    </w:p>
    <w:p w:rsidR="0097083A" w:rsidRPr="0097083A" w:rsidRDefault="0097083A" w:rsidP="0049706B">
      <w:pPr>
        <w:pStyle w:val="ListParagraph"/>
        <w:numPr>
          <w:ilvl w:val="0"/>
          <w:numId w:val="2"/>
        </w:numPr>
        <w:tabs>
          <w:tab w:val="clear" w:pos="927"/>
          <w:tab w:val="num" w:pos="426"/>
        </w:tabs>
        <w:ind w:left="426"/>
        <w:rPr>
          <w:rFonts w:cs="Arial"/>
          <w:b/>
        </w:rPr>
      </w:pPr>
      <w:r w:rsidRPr="002E3EE9">
        <w:rPr>
          <w:rFonts w:cs="Arial"/>
        </w:rPr>
        <w:t>This report contains no environmental impact.</w:t>
      </w:r>
    </w:p>
    <w:p w:rsidR="007B6E54" w:rsidRDefault="007B6E54">
      <w:pPr>
        <w:rPr>
          <w:rFonts w:cs="Arial"/>
          <w:b/>
        </w:rPr>
      </w:pPr>
    </w:p>
    <w:p w:rsidR="007B6E54" w:rsidRDefault="007B6E54">
      <w:pPr>
        <w:rPr>
          <w:rFonts w:cs="Arial"/>
        </w:rPr>
      </w:pPr>
      <w:r>
        <w:rPr>
          <w:rFonts w:cs="Arial"/>
          <w:b/>
        </w:rPr>
        <w:t>Level of Risk</w:t>
      </w:r>
      <w:r w:rsidR="0097083A">
        <w:rPr>
          <w:rFonts w:cs="Arial"/>
        </w:rPr>
        <w:t>:</w:t>
      </w:r>
    </w:p>
    <w:p w:rsidR="0097083A" w:rsidRPr="0097083A" w:rsidRDefault="0097083A">
      <w:pPr>
        <w:rPr>
          <w:rFonts w:cs="Arial"/>
        </w:rPr>
      </w:pPr>
    </w:p>
    <w:p w:rsidR="0097083A" w:rsidRPr="0097083A" w:rsidRDefault="0049706B" w:rsidP="0049706B">
      <w:pPr>
        <w:pStyle w:val="ListParagraph"/>
        <w:numPr>
          <w:ilvl w:val="0"/>
          <w:numId w:val="2"/>
        </w:numPr>
        <w:tabs>
          <w:tab w:val="clear" w:pos="927"/>
          <w:tab w:val="num" w:pos="426"/>
        </w:tabs>
        <w:ind w:left="426"/>
        <w:rPr>
          <w:rFonts w:cs="Arial"/>
        </w:rPr>
      </w:pPr>
      <w:r>
        <w:rPr>
          <w:rFonts w:cs="Arial"/>
        </w:rPr>
        <w:t xml:space="preserve"> </w:t>
      </w:r>
      <w:r w:rsidR="0097083A" w:rsidRPr="0097083A">
        <w:rPr>
          <w:rFonts w:cs="Arial"/>
        </w:rPr>
        <w:t>See appendix A</w:t>
      </w:r>
    </w:p>
    <w:p w:rsidR="0097083A" w:rsidRPr="0097083A" w:rsidRDefault="0097083A" w:rsidP="0097083A">
      <w:pPr>
        <w:pStyle w:val="ListParagraph"/>
        <w:ind w:left="927"/>
        <w:rPr>
          <w:rFonts w:cs="Arial"/>
          <w:b/>
        </w:rPr>
      </w:pPr>
    </w:p>
    <w:p w:rsidR="00F4367A" w:rsidRDefault="007B6E54">
      <w:pPr>
        <w:rPr>
          <w:rFonts w:cs="Arial"/>
          <w:i/>
        </w:rPr>
      </w:pPr>
      <w:r w:rsidRPr="007B6E54">
        <w:rPr>
          <w:rFonts w:cs="Arial"/>
          <w:b/>
        </w:rPr>
        <w:t>Equalities</w:t>
      </w:r>
      <w:r w:rsidR="00A41865">
        <w:rPr>
          <w:rFonts w:cs="Arial"/>
          <w:b/>
        </w:rPr>
        <w:t>:</w:t>
      </w:r>
    </w:p>
    <w:p w:rsidR="0097083A" w:rsidRDefault="0097083A">
      <w:pPr>
        <w:rPr>
          <w:rFonts w:cs="Arial"/>
          <w:i/>
        </w:rPr>
      </w:pPr>
    </w:p>
    <w:p w:rsidR="0097083A" w:rsidRDefault="0097083A" w:rsidP="0049706B">
      <w:pPr>
        <w:pStyle w:val="ListParagraph"/>
        <w:numPr>
          <w:ilvl w:val="0"/>
          <w:numId w:val="2"/>
        </w:numPr>
        <w:ind w:left="426"/>
        <w:rPr>
          <w:rFonts w:cs="Arial"/>
        </w:rPr>
      </w:pPr>
      <w:r>
        <w:rPr>
          <w:rFonts w:cs="Arial"/>
        </w:rPr>
        <w:t xml:space="preserve"> </w:t>
      </w:r>
      <w:r w:rsidR="00522BE9">
        <w:rPr>
          <w:rFonts w:cs="Arial"/>
        </w:rPr>
        <w:t>This</w:t>
      </w:r>
      <w:r w:rsidR="00A41865">
        <w:rPr>
          <w:rFonts w:cs="Arial"/>
        </w:rPr>
        <w:t xml:space="preserve"> report </w:t>
      </w:r>
      <w:r w:rsidR="00522BE9">
        <w:rPr>
          <w:rFonts w:cs="Arial"/>
        </w:rPr>
        <w:t xml:space="preserve">does not contain any potential equalities </w:t>
      </w:r>
      <w:r w:rsidR="00A41865">
        <w:rPr>
          <w:rFonts w:cs="Arial"/>
        </w:rPr>
        <w:t xml:space="preserve">impact </w:t>
      </w:r>
      <w:r w:rsidR="00522BE9">
        <w:rPr>
          <w:rFonts w:cs="Arial"/>
        </w:rPr>
        <w:t>issues</w:t>
      </w:r>
      <w:r w:rsidR="00A41865">
        <w:rPr>
          <w:rFonts w:cs="Arial"/>
        </w:rPr>
        <w:t>.</w:t>
      </w:r>
    </w:p>
    <w:p w:rsidR="00620816" w:rsidRPr="0097083A" w:rsidRDefault="00620816" w:rsidP="00620816">
      <w:pPr>
        <w:pStyle w:val="ListParagraph"/>
        <w:ind w:left="92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2B5264">
              <w:t>: Shaun Vinnicombe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2B5264">
              <w:t xml:space="preserve"> : Risk and Insurance Officer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2B5264">
              <w:t xml:space="preserve"> : Financ</w:t>
            </w:r>
            <w:r w:rsidR="009D258A">
              <w:t>ial Services</w:t>
            </w:r>
          </w:p>
        </w:tc>
      </w:tr>
      <w:tr w:rsidR="00713675">
        <w:tc>
          <w:tcPr>
            <w:tcW w:w="8522" w:type="dxa"/>
          </w:tcPr>
          <w:p w:rsidR="00713675" w:rsidRDefault="00713675" w:rsidP="002B526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 xml:space="preserve">Tel:  01865 </w:t>
            </w:r>
            <w:r w:rsidR="002B5264">
              <w:t>252048</w:t>
            </w:r>
            <w:r>
              <w:t xml:space="preserve">  e-mail:  </w:t>
            </w:r>
            <w:hyperlink r:id="rId11" w:history="1">
              <w:r w:rsidR="002B5264" w:rsidRPr="00230654">
                <w:rPr>
                  <w:rStyle w:val="Hyperlink"/>
                </w:rPr>
                <w:t>svinnicombe@oxford.gov.uk</w:t>
              </w:r>
            </w:hyperlink>
          </w:p>
        </w:tc>
      </w:tr>
      <w:tr w:rsidR="002B5264">
        <w:tc>
          <w:tcPr>
            <w:tcW w:w="8522" w:type="dxa"/>
          </w:tcPr>
          <w:p w:rsidR="002B5264" w:rsidRDefault="002B5264" w:rsidP="002B526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623C2F" w:rsidRPr="00623C2F" w:rsidRDefault="00623C2F">
      <w:pPr>
        <w:rPr>
          <w:rFonts w:cs="Arial"/>
          <w:bCs/>
          <w:i/>
        </w:rPr>
      </w:pPr>
    </w:p>
    <w:p w:rsidR="00F4367A" w:rsidRDefault="00F4367A">
      <w:pPr>
        <w:rPr>
          <w:b/>
          <w:bCs/>
        </w:rPr>
      </w:pPr>
    </w:p>
    <w:p w:rsidR="007B6E54" w:rsidRDefault="007B6E54">
      <w:pPr>
        <w:rPr>
          <w:bCs/>
        </w:rPr>
      </w:pPr>
    </w:p>
    <w:sectPr w:rsidR="007B6E54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C" w:rsidRDefault="00A36DAC">
      <w:r>
        <w:separator/>
      </w:r>
    </w:p>
  </w:endnote>
  <w:endnote w:type="continuationSeparator" w:id="0">
    <w:p w:rsidR="00A36DAC" w:rsidRDefault="00A3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C" w:rsidRDefault="00A36DAC">
      <w:r>
        <w:separator/>
      </w:r>
    </w:p>
  </w:footnote>
  <w:footnote w:type="continuationSeparator" w:id="0">
    <w:p w:rsidR="00A36DAC" w:rsidRDefault="00A3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27F"/>
    <w:multiLevelType w:val="hybridMultilevel"/>
    <w:tmpl w:val="ED1A8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E651F"/>
    <w:multiLevelType w:val="hybridMultilevel"/>
    <w:tmpl w:val="9D3EBC30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E0100"/>
    <w:multiLevelType w:val="hybridMultilevel"/>
    <w:tmpl w:val="F1D29024"/>
    <w:lvl w:ilvl="0" w:tplc="B67C35EC">
      <w:start w:val="10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E00E4"/>
    <w:multiLevelType w:val="hybridMultilevel"/>
    <w:tmpl w:val="B160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D49C8"/>
    <w:multiLevelType w:val="hybridMultilevel"/>
    <w:tmpl w:val="EB525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5603"/>
    <w:multiLevelType w:val="hybridMultilevel"/>
    <w:tmpl w:val="F664F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0B23"/>
    <w:multiLevelType w:val="hybridMultilevel"/>
    <w:tmpl w:val="9A88D232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A60A2"/>
    <w:multiLevelType w:val="hybridMultilevel"/>
    <w:tmpl w:val="9D3EBC30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04AE8"/>
    <w:multiLevelType w:val="hybridMultilevel"/>
    <w:tmpl w:val="9D3EBC30"/>
    <w:lvl w:ilvl="0" w:tplc="7C0653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3"/>
    <w:rsid w:val="00031F52"/>
    <w:rsid w:val="00056263"/>
    <w:rsid w:val="000822ED"/>
    <w:rsid w:val="000B02DD"/>
    <w:rsid w:val="000B6C62"/>
    <w:rsid w:val="000C3928"/>
    <w:rsid w:val="00110C9E"/>
    <w:rsid w:val="00123704"/>
    <w:rsid w:val="00123DE4"/>
    <w:rsid w:val="001A5BBC"/>
    <w:rsid w:val="001D4179"/>
    <w:rsid w:val="001E557E"/>
    <w:rsid w:val="0020405A"/>
    <w:rsid w:val="00205320"/>
    <w:rsid w:val="0023299C"/>
    <w:rsid w:val="00264555"/>
    <w:rsid w:val="002B5264"/>
    <w:rsid w:val="002C0CB3"/>
    <w:rsid w:val="002D2EA4"/>
    <w:rsid w:val="00336EAB"/>
    <w:rsid w:val="003645B6"/>
    <w:rsid w:val="003B36B0"/>
    <w:rsid w:val="003C2714"/>
    <w:rsid w:val="003D1620"/>
    <w:rsid w:val="00434C73"/>
    <w:rsid w:val="004413BE"/>
    <w:rsid w:val="00465EAF"/>
    <w:rsid w:val="00466306"/>
    <w:rsid w:val="00470E2F"/>
    <w:rsid w:val="0049706B"/>
    <w:rsid w:val="004A2CEC"/>
    <w:rsid w:val="004E2688"/>
    <w:rsid w:val="004F377C"/>
    <w:rsid w:val="00522BE9"/>
    <w:rsid w:val="0052634D"/>
    <w:rsid w:val="005C6187"/>
    <w:rsid w:val="00620816"/>
    <w:rsid w:val="00623C2F"/>
    <w:rsid w:val="006433D6"/>
    <w:rsid w:val="00657A8D"/>
    <w:rsid w:val="006646E8"/>
    <w:rsid w:val="006820E8"/>
    <w:rsid w:val="006E3B55"/>
    <w:rsid w:val="006F30D2"/>
    <w:rsid w:val="006F416B"/>
    <w:rsid w:val="006F555C"/>
    <w:rsid w:val="006F6384"/>
    <w:rsid w:val="00707C28"/>
    <w:rsid w:val="00713675"/>
    <w:rsid w:val="00713B20"/>
    <w:rsid w:val="00714826"/>
    <w:rsid w:val="00771E3D"/>
    <w:rsid w:val="00786C6B"/>
    <w:rsid w:val="007B6E54"/>
    <w:rsid w:val="007D051C"/>
    <w:rsid w:val="007E33BE"/>
    <w:rsid w:val="007E4914"/>
    <w:rsid w:val="00802733"/>
    <w:rsid w:val="00855C66"/>
    <w:rsid w:val="008572A5"/>
    <w:rsid w:val="0086599A"/>
    <w:rsid w:val="008726C8"/>
    <w:rsid w:val="008821BC"/>
    <w:rsid w:val="00883B8D"/>
    <w:rsid w:val="00895AD6"/>
    <w:rsid w:val="008B43DA"/>
    <w:rsid w:val="008D150F"/>
    <w:rsid w:val="008D3320"/>
    <w:rsid w:val="008D3DDB"/>
    <w:rsid w:val="008E6800"/>
    <w:rsid w:val="009022A0"/>
    <w:rsid w:val="009236C6"/>
    <w:rsid w:val="00925E65"/>
    <w:rsid w:val="00954E85"/>
    <w:rsid w:val="0097083A"/>
    <w:rsid w:val="00971689"/>
    <w:rsid w:val="00973E90"/>
    <w:rsid w:val="00977099"/>
    <w:rsid w:val="009D165C"/>
    <w:rsid w:val="009D258A"/>
    <w:rsid w:val="009F27D2"/>
    <w:rsid w:val="00A100FD"/>
    <w:rsid w:val="00A36DAC"/>
    <w:rsid w:val="00A41865"/>
    <w:rsid w:val="00A418BD"/>
    <w:rsid w:val="00A92D8F"/>
    <w:rsid w:val="00A95C2B"/>
    <w:rsid w:val="00AD0EFB"/>
    <w:rsid w:val="00AD2A14"/>
    <w:rsid w:val="00AD3292"/>
    <w:rsid w:val="00AE5AB8"/>
    <w:rsid w:val="00B10197"/>
    <w:rsid w:val="00B24364"/>
    <w:rsid w:val="00B37D89"/>
    <w:rsid w:val="00B63816"/>
    <w:rsid w:val="00B664A1"/>
    <w:rsid w:val="00BB2375"/>
    <w:rsid w:val="00BC219F"/>
    <w:rsid w:val="00BD0256"/>
    <w:rsid w:val="00BF00CB"/>
    <w:rsid w:val="00C02A4A"/>
    <w:rsid w:val="00C21AFB"/>
    <w:rsid w:val="00C2692F"/>
    <w:rsid w:val="00C26EDE"/>
    <w:rsid w:val="00C5269C"/>
    <w:rsid w:val="00C65252"/>
    <w:rsid w:val="00C95027"/>
    <w:rsid w:val="00CA509D"/>
    <w:rsid w:val="00CC3662"/>
    <w:rsid w:val="00CC4986"/>
    <w:rsid w:val="00CD7E14"/>
    <w:rsid w:val="00CE3524"/>
    <w:rsid w:val="00CE5180"/>
    <w:rsid w:val="00CF4213"/>
    <w:rsid w:val="00D462AD"/>
    <w:rsid w:val="00D83CC5"/>
    <w:rsid w:val="00DA462F"/>
    <w:rsid w:val="00E01F42"/>
    <w:rsid w:val="00E04A96"/>
    <w:rsid w:val="00E900EA"/>
    <w:rsid w:val="00E9605D"/>
    <w:rsid w:val="00EA0DB1"/>
    <w:rsid w:val="00EA2FDD"/>
    <w:rsid w:val="00F4367A"/>
    <w:rsid w:val="00F5664A"/>
    <w:rsid w:val="00F75C08"/>
    <w:rsid w:val="00F7606D"/>
    <w:rsid w:val="00FA624C"/>
    <w:rsid w:val="00FC62CE"/>
    <w:rsid w:val="00FD34C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83A"/>
    <w:pPr>
      <w:ind w:left="720"/>
    </w:pPr>
  </w:style>
  <w:style w:type="table" w:styleId="TableGrid">
    <w:name w:val="Table Grid"/>
    <w:basedOn w:val="TableNormal"/>
    <w:uiPriority w:val="59"/>
    <w:rsid w:val="0097083A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821BC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83A"/>
    <w:pPr>
      <w:ind w:left="720"/>
    </w:pPr>
  </w:style>
  <w:style w:type="table" w:styleId="TableGrid">
    <w:name w:val="Table Grid"/>
    <w:basedOn w:val="TableNormal"/>
    <w:uiPriority w:val="59"/>
    <w:rsid w:val="0097083A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821B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innicombe@oxford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FDB3-F96E-4AA9-9CE5-6465E05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63CB78F</Template>
  <TotalTime>3</TotalTime>
  <Pages>5</Pages>
  <Words>977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Vinnicombe</dc:creator>
  <cp:lastModifiedBy>Thompson, Jennifer - Oxford City Council</cp:lastModifiedBy>
  <cp:revision>3</cp:revision>
  <cp:lastPrinted>2010-10-15T09:32:00Z</cp:lastPrinted>
  <dcterms:created xsi:type="dcterms:W3CDTF">2015-06-18T13:43:00Z</dcterms:created>
  <dcterms:modified xsi:type="dcterms:W3CDTF">2015-06-19T12:02:00Z</dcterms:modified>
</cp:coreProperties>
</file>